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65F8" w14:textId="099C9AC2" w:rsidR="00853FDE" w:rsidRDefault="00853FDE" w:rsidP="00BF351C">
      <w:pPr>
        <w:spacing w:after="120"/>
        <w:rPr>
          <w:sz w:val="22"/>
          <w:szCs w:val="22"/>
        </w:rPr>
      </w:pPr>
    </w:p>
    <w:p w14:paraId="562B7260" w14:textId="5FB1AEF4" w:rsidR="00853FDE" w:rsidRDefault="00853FDE" w:rsidP="00BF351C">
      <w:pPr>
        <w:spacing w:after="120"/>
        <w:rPr>
          <w:sz w:val="22"/>
          <w:szCs w:val="22"/>
        </w:rPr>
      </w:pPr>
    </w:p>
    <w:p w14:paraId="0C63FAF0" w14:textId="67A340AB" w:rsidR="00C64001" w:rsidRDefault="00F931B4" w:rsidP="00C64001">
      <w:pPr>
        <w:spacing w:before="120" w:after="80"/>
        <w:rPr>
          <w:rFonts w:ascii="Arial" w:hAnsi="Arial" w:cs="Arial"/>
          <w:sz w:val="20"/>
          <w:szCs w:val="20"/>
        </w:rPr>
      </w:pPr>
      <w:r>
        <w:rPr>
          <w:rFonts w:ascii="Arial" w:hAnsi="Arial" w:cs="Arial"/>
          <w:sz w:val="22"/>
          <w:szCs w:val="22"/>
        </w:rPr>
        <w:br/>
      </w:r>
    </w:p>
    <w:p w14:paraId="66E1BEE5" w14:textId="0A7E5504" w:rsidR="00C64001" w:rsidRPr="00C207E3" w:rsidRDefault="00C64001" w:rsidP="009940CC">
      <w:pPr>
        <w:spacing w:before="240"/>
        <w:rPr>
          <w:rFonts w:ascii="Arial" w:hAnsi="Arial" w:cs="Arial"/>
          <w:sz w:val="20"/>
          <w:szCs w:val="20"/>
        </w:rPr>
      </w:pPr>
      <w:r w:rsidRPr="00C207E3">
        <w:rPr>
          <w:rFonts w:ascii="Arial" w:hAnsi="Arial" w:cs="Arial"/>
          <w:sz w:val="20"/>
          <w:szCs w:val="20"/>
        </w:rPr>
        <w:t>Dealership Name</w:t>
      </w:r>
      <w:r w:rsidRPr="00C207E3">
        <w:rPr>
          <w:rFonts w:ascii="Arial" w:hAnsi="Arial" w:cs="Arial"/>
          <w:sz w:val="20"/>
          <w:szCs w:val="20"/>
        </w:rPr>
        <w:br/>
        <w:t>Number and street address 1</w:t>
      </w:r>
      <w:r w:rsidRPr="00C207E3">
        <w:rPr>
          <w:rFonts w:ascii="Arial" w:hAnsi="Arial" w:cs="Arial"/>
          <w:sz w:val="20"/>
          <w:szCs w:val="20"/>
        </w:rPr>
        <w:br/>
        <w:t>Number and street address 2</w:t>
      </w:r>
      <w:r w:rsidRPr="00C207E3">
        <w:rPr>
          <w:rFonts w:ascii="Arial" w:hAnsi="Arial" w:cs="Arial"/>
          <w:sz w:val="20"/>
          <w:szCs w:val="20"/>
        </w:rPr>
        <w:br/>
        <w:t>City, State, Zip</w:t>
      </w:r>
      <w:r w:rsidRPr="00C207E3">
        <w:rPr>
          <w:rFonts w:ascii="Arial" w:hAnsi="Arial" w:cs="Arial"/>
          <w:sz w:val="20"/>
          <w:szCs w:val="20"/>
        </w:rPr>
        <w:br/>
      </w:r>
    </w:p>
    <w:p w14:paraId="7D65366C" w14:textId="49F91679" w:rsidR="00C64001" w:rsidRPr="00C207E3" w:rsidRDefault="00C64001" w:rsidP="00C64001">
      <w:pPr>
        <w:rPr>
          <w:rFonts w:ascii="Arial" w:hAnsi="Arial" w:cs="Arial"/>
          <w:sz w:val="20"/>
          <w:szCs w:val="20"/>
        </w:rPr>
      </w:pPr>
      <w:r w:rsidRPr="00C207E3">
        <w:rPr>
          <w:rFonts w:ascii="Arial" w:hAnsi="Arial" w:cs="Arial"/>
          <w:sz w:val="20"/>
          <w:szCs w:val="20"/>
        </w:rPr>
        <w:t>Date:  Month Day, Year</w:t>
      </w:r>
      <w:r w:rsidRPr="00C207E3">
        <w:rPr>
          <w:rFonts w:ascii="Arial" w:hAnsi="Arial" w:cs="Arial"/>
          <w:sz w:val="20"/>
          <w:szCs w:val="20"/>
        </w:rPr>
        <w:br/>
        <w:t>Subject: Annual Fair Lending Notice</w:t>
      </w:r>
    </w:p>
    <w:p w14:paraId="2EE5C845" w14:textId="158285A7" w:rsidR="00C64001" w:rsidRPr="00C207E3" w:rsidRDefault="00C64001" w:rsidP="00C64001">
      <w:pPr>
        <w:spacing w:after="120"/>
        <w:rPr>
          <w:rFonts w:ascii="Arial" w:hAnsi="Arial" w:cs="Arial"/>
          <w:sz w:val="20"/>
          <w:szCs w:val="20"/>
        </w:rPr>
      </w:pPr>
    </w:p>
    <w:p w14:paraId="4040BC6F" w14:textId="77777777" w:rsidR="00C64001" w:rsidRDefault="00C64001" w:rsidP="00C64001">
      <w:pPr>
        <w:rPr>
          <w:rFonts w:ascii="Arial" w:hAnsi="Arial" w:cs="Arial"/>
          <w:sz w:val="20"/>
          <w:szCs w:val="20"/>
        </w:rPr>
      </w:pPr>
      <w:r w:rsidRPr="00C207E3">
        <w:rPr>
          <w:rFonts w:ascii="Arial" w:hAnsi="Arial" w:cs="Arial"/>
          <w:sz w:val="20"/>
          <w:szCs w:val="20"/>
        </w:rPr>
        <w:t>To Whom It May Concern:</w:t>
      </w:r>
    </w:p>
    <w:p w14:paraId="0E89BF1A" w14:textId="4D28A85B" w:rsidR="00C64001" w:rsidRPr="00C207E3" w:rsidRDefault="00C64001" w:rsidP="00C64001">
      <w:pPr>
        <w:spacing w:after="120"/>
        <w:rPr>
          <w:rFonts w:ascii="Arial" w:hAnsi="Arial" w:cs="Arial"/>
          <w:sz w:val="20"/>
          <w:szCs w:val="20"/>
        </w:rPr>
      </w:pPr>
    </w:p>
    <w:p w14:paraId="5574F494" w14:textId="16A2DF4F" w:rsidR="00C64001" w:rsidRPr="00C207E3" w:rsidRDefault="00C64001" w:rsidP="00C64001">
      <w:pPr>
        <w:spacing w:before="120" w:after="120"/>
        <w:rPr>
          <w:rFonts w:ascii="Arial" w:hAnsi="Arial" w:cs="Arial"/>
          <w:sz w:val="20"/>
          <w:szCs w:val="20"/>
        </w:rPr>
      </w:pPr>
      <w:r>
        <w:rPr>
          <w:rFonts w:ascii="Arial" w:hAnsi="Arial" w:cs="Arial"/>
          <w:sz w:val="20"/>
          <w:szCs w:val="20"/>
        </w:rPr>
        <w:t>Chrysler Capital</w:t>
      </w:r>
      <w:r w:rsidRPr="00C207E3">
        <w:rPr>
          <w:rFonts w:ascii="Arial" w:hAnsi="Arial" w:cs="Arial"/>
          <w:sz w:val="20"/>
          <w:szCs w:val="20"/>
        </w:rPr>
        <w:t xml:space="preserve"> is committed to fair lending and treating consumers, </w:t>
      </w:r>
      <w:proofErr w:type="gramStart"/>
      <w:r w:rsidRPr="00C207E3">
        <w:rPr>
          <w:rFonts w:ascii="Arial" w:hAnsi="Arial" w:cs="Arial"/>
          <w:sz w:val="20"/>
          <w:szCs w:val="20"/>
        </w:rPr>
        <w:t>customers</w:t>
      </w:r>
      <w:proofErr w:type="gramEnd"/>
      <w:r w:rsidRPr="00C207E3">
        <w:rPr>
          <w:rFonts w:ascii="Arial" w:hAnsi="Arial" w:cs="Arial"/>
          <w:sz w:val="20"/>
          <w:szCs w:val="20"/>
        </w:rPr>
        <w:t xml:space="preserve"> and vendors with the utmost respect</w:t>
      </w:r>
      <w:r>
        <w:rPr>
          <w:rFonts w:ascii="Arial" w:hAnsi="Arial" w:cs="Arial"/>
          <w:sz w:val="20"/>
          <w:szCs w:val="20"/>
        </w:rPr>
        <w:br/>
      </w:r>
      <w:r w:rsidRPr="00C207E3">
        <w:rPr>
          <w:rFonts w:ascii="Arial" w:hAnsi="Arial" w:cs="Arial"/>
          <w:sz w:val="20"/>
          <w:szCs w:val="20"/>
        </w:rPr>
        <w:t>and fairness.</w:t>
      </w:r>
    </w:p>
    <w:p w14:paraId="02D7AB16" w14:textId="146D8ABC" w:rsidR="00C64001" w:rsidRPr="00C207E3" w:rsidRDefault="00C64001" w:rsidP="00C64001">
      <w:pPr>
        <w:spacing w:after="120"/>
        <w:rPr>
          <w:rFonts w:ascii="Arial" w:hAnsi="Arial" w:cs="Arial"/>
          <w:sz w:val="20"/>
          <w:szCs w:val="20"/>
        </w:rPr>
      </w:pPr>
      <w:r w:rsidRPr="00C207E3">
        <w:rPr>
          <w:rFonts w:ascii="Arial" w:hAnsi="Arial" w:cs="Arial"/>
          <w:sz w:val="20"/>
          <w:szCs w:val="20"/>
        </w:rPr>
        <w:t>We require dealers and vendors to comply with all applicable state and federal fair lending laws. We also expect them to follow best practices in treating customers with fairness and respect.</w:t>
      </w:r>
    </w:p>
    <w:p w14:paraId="26CB0BE3" w14:textId="21FB7BBB" w:rsidR="00C64001" w:rsidRPr="00C207E3" w:rsidRDefault="00C64001" w:rsidP="00C64001">
      <w:pPr>
        <w:spacing w:after="120"/>
        <w:rPr>
          <w:rFonts w:ascii="Arial" w:hAnsi="Arial" w:cs="Arial"/>
          <w:sz w:val="20"/>
          <w:szCs w:val="20"/>
        </w:rPr>
      </w:pPr>
      <w:r w:rsidRPr="00C207E3">
        <w:rPr>
          <w:rFonts w:ascii="Arial" w:hAnsi="Arial" w:cs="Arial"/>
          <w:sz w:val="20"/>
          <w:szCs w:val="20"/>
        </w:rPr>
        <w:t>Fair lending laws require the fair and equal treatment of all persons without regard to a prohibited basis.</w:t>
      </w:r>
    </w:p>
    <w:p w14:paraId="5693D357" w14:textId="6677507D" w:rsidR="00C64001" w:rsidRPr="00C207E3" w:rsidRDefault="00C64001" w:rsidP="00C64001">
      <w:pPr>
        <w:spacing w:after="120"/>
        <w:rPr>
          <w:rFonts w:ascii="Arial" w:hAnsi="Arial" w:cs="Arial"/>
          <w:sz w:val="20"/>
          <w:szCs w:val="20"/>
        </w:rPr>
      </w:pPr>
      <w:r w:rsidRPr="00C207E3">
        <w:rPr>
          <w:rFonts w:ascii="Arial" w:hAnsi="Arial" w:cs="Arial"/>
          <w:sz w:val="20"/>
          <w:szCs w:val="20"/>
        </w:rPr>
        <w:t>Dealers and vendors are prohibited from discriminating in any aspect of the credit transaction based upon a</w:t>
      </w:r>
      <w:r>
        <w:rPr>
          <w:rFonts w:ascii="Arial" w:hAnsi="Arial" w:cs="Arial"/>
          <w:sz w:val="20"/>
          <w:szCs w:val="20"/>
        </w:rPr>
        <w:br/>
      </w:r>
      <w:r w:rsidRPr="00C207E3">
        <w:rPr>
          <w:rFonts w:ascii="Arial" w:hAnsi="Arial" w:cs="Arial"/>
          <w:sz w:val="20"/>
          <w:szCs w:val="20"/>
        </w:rPr>
        <w:t>prohibited basis.</w:t>
      </w:r>
    </w:p>
    <w:p w14:paraId="001F9337" w14:textId="33A3CB7A" w:rsidR="00C64001" w:rsidRDefault="00C64001" w:rsidP="00C64001">
      <w:pPr>
        <w:spacing w:after="240"/>
        <w:rPr>
          <w:rFonts w:ascii="Arial" w:hAnsi="Arial" w:cs="Arial"/>
          <w:sz w:val="20"/>
          <w:szCs w:val="20"/>
        </w:rPr>
      </w:pPr>
      <w:r w:rsidRPr="00C207E3">
        <w:rPr>
          <w:rFonts w:ascii="Arial" w:hAnsi="Arial" w:cs="Arial"/>
          <w:sz w:val="20"/>
          <w:szCs w:val="20"/>
        </w:rPr>
        <w:t>The Equal Credit Opportunity Act and Regulation B define prohibited bases as the following:</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5170"/>
      </w:tblGrid>
      <w:tr w:rsidR="00C64001" w:rsidRPr="008F1B6F" w14:paraId="487F4907" w14:textId="77777777" w:rsidTr="00277A00">
        <w:tc>
          <w:tcPr>
            <w:tcW w:w="3744" w:type="dxa"/>
            <w:shd w:val="clear" w:color="auto" w:fill="auto"/>
          </w:tcPr>
          <w:p w14:paraId="565F59F4" w14:textId="714B90CF" w:rsidR="00C64001" w:rsidRPr="00C207E3" w:rsidRDefault="00C64001" w:rsidP="00277A00">
            <w:pPr>
              <w:pStyle w:val="ListParagraph"/>
              <w:numPr>
                <w:ilvl w:val="0"/>
                <w:numId w:val="1"/>
              </w:numPr>
              <w:spacing w:after="120"/>
              <w:ind w:left="450" w:hanging="270"/>
              <w:rPr>
                <w:rFonts w:ascii="Arial" w:hAnsi="Arial" w:cs="Arial"/>
                <w:sz w:val="20"/>
                <w:szCs w:val="20"/>
              </w:rPr>
            </w:pPr>
            <w:r w:rsidRPr="00C207E3">
              <w:rPr>
                <w:rFonts w:ascii="Arial" w:hAnsi="Arial" w:cs="Arial"/>
                <w:sz w:val="20"/>
                <w:szCs w:val="20"/>
              </w:rPr>
              <w:t>Sex, including Sexual Orientation</w:t>
            </w:r>
            <w:r>
              <w:rPr>
                <w:rFonts w:ascii="Arial" w:hAnsi="Arial" w:cs="Arial"/>
                <w:sz w:val="20"/>
                <w:szCs w:val="20"/>
              </w:rPr>
              <w:br/>
            </w:r>
            <w:r w:rsidRPr="00C207E3">
              <w:rPr>
                <w:rFonts w:ascii="Arial" w:hAnsi="Arial" w:cs="Arial"/>
                <w:sz w:val="20"/>
                <w:szCs w:val="20"/>
              </w:rPr>
              <w:t>and Gender Identity</w:t>
            </w:r>
          </w:p>
          <w:p w14:paraId="230ACF98" w14:textId="49DF9267" w:rsidR="00C64001" w:rsidRPr="008F1B6F" w:rsidRDefault="00B35475" w:rsidP="00277A00">
            <w:pPr>
              <w:pStyle w:val="ListParagraph"/>
              <w:numPr>
                <w:ilvl w:val="0"/>
                <w:numId w:val="1"/>
              </w:numPr>
              <w:spacing w:after="120"/>
              <w:ind w:left="450" w:hanging="270"/>
              <w:rPr>
                <w:rFonts w:ascii="Arial" w:hAnsi="Arial" w:cs="Arial"/>
                <w:sz w:val="20"/>
                <w:szCs w:val="20"/>
              </w:rPr>
            </w:pPr>
            <w:r>
              <w:rPr>
                <w:rFonts w:ascii="Arial" w:hAnsi="Arial" w:cs="Arial"/>
                <w:sz w:val="20"/>
                <w:szCs w:val="20"/>
              </w:rPr>
              <w:softHyphen/>
            </w:r>
            <w:r w:rsidR="00C64001" w:rsidRPr="00C207E3">
              <w:rPr>
                <w:rFonts w:ascii="Arial" w:hAnsi="Arial" w:cs="Arial"/>
                <w:sz w:val="20"/>
                <w:szCs w:val="20"/>
              </w:rPr>
              <w:t>Marit</w:t>
            </w:r>
            <w:r w:rsidR="00C64001" w:rsidRPr="008F1B6F">
              <w:rPr>
                <w:rFonts w:ascii="Arial" w:hAnsi="Arial" w:cs="Arial"/>
                <w:sz w:val="20"/>
                <w:szCs w:val="20"/>
              </w:rPr>
              <w:t>al status</w:t>
            </w:r>
          </w:p>
          <w:p w14:paraId="70CAB5EF" w14:textId="15592338" w:rsidR="00C64001" w:rsidRPr="00C207E3" w:rsidRDefault="00C64001" w:rsidP="00277A00">
            <w:pPr>
              <w:pStyle w:val="ListParagraph"/>
              <w:numPr>
                <w:ilvl w:val="0"/>
                <w:numId w:val="1"/>
              </w:numPr>
              <w:spacing w:after="120"/>
              <w:ind w:left="450" w:hanging="270"/>
              <w:rPr>
                <w:rFonts w:ascii="Arial" w:hAnsi="Arial" w:cs="Arial"/>
                <w:sz w:val="20"/>
                <w:szCs w:val="20"/>
              </w:rPr>
            </w:pPr>
            <w:r w:rsidRPr="00C207E3">
              <w:rPr>
                <w:rFonts w:ascii="Arial" w:hAnsi="Arial" w:cs="Arial"/>
                <w:sz w:val="20"/>
                <w:szCs w:val="20"/>
              </w:rPr>
              <w:t>Race</w:t>
            </w:r>
          </w:p>
          <w:p w14:paraId="2BB2891D" w14:textId="2E34D9FA" w:rsidR="00C64001" w:rsidRPr="00C207E3" w:rsidRDefault="00C64001" w:rsidP="00277A00">
            <w:pPr>
              <w:pStyle w:val="ListParagraph"/>
              <w:numPr>
                <w:ilvl w:val="0"/>
                <w:numId w:val="1"/>
              </w:numPr>
              <w:spacing w:after="120"/>
              <w:ind w:left="450" w:hanging="270"/>
              <w:rPr>
                <w:rFonts w:ascii="Arial" w:hAnsi="Arial" w:cs="Arial"/>
                <w:sz w:val="20"/>
                <w:szCs w:val="20"/>
              </w:rPr>
            </w:pPr>
            <w:r w:rsidRPr="00C207E3">
              <w:rPr>
                <w:rFonts w:ascii="Arial" w:hAnsi="Arial" w:cs="Arial"/>
                <w:sz w:val="20"/>
                <w:szCs w:val="20"/>
              </w:rPr>
              <w:t>Color</w:t>
            </w:r>
          </w:p>
          <w:p w14:paraId="7B42D79A" w14:textId="72181FCF" w:rsidR="00C64001" w:rsidRPr="008F1B6F" w:rsidRDefault="00C64001" w:rsidP="00277A00">
            <w:pPr>
              <w:pStyle w:val="ListParagraph"/>
              <w:numPr>
                <w:ilvl w:val="0"/>
                <w:numId w:val="1"/>
              </w:numPr>
              <w:spacing w:after="120"/>
              <w:ind w:left="450" w:hanging="270"/>
              <w:rPr>
                <w:rFonts w:ascii="Arial" w:hAnsi="Arial" w:cs="Arial"/>
                <w:sz w:val="20"/>
                <w:szCs w:val="20"/>
              </w:rPr>
            </w:pPr>
            <w:r w:rsidRPr="00C207E3">
              <w:rPr>
                <w:rFonts w:ascii="Arial" w:hAnsi="Arial" w:cs="Arial"/>
                <w:sz w:val="20"/>
                <w:szCs w:val="20"/>
              </w:rPr>
              <w:t>Religion</w:t>
            </w:r>
          </w:p>
        </w:tc>
        <w:tc>
          <w:tcPr>
            <w:tcW w:w="5170" w:type="dxa"/>
            <w:shd w:val="clear" w:color="auto" w:fill="auto"/>
          </w:tcPr>
          <w:p w14:paraId="4E562661" w14:textId="77777777" w:rsidR="00C64001" w:rsidRPr="00C207E3" w:rsidRDefault="00C64001" w:rsidP="00277A00">
            <w:pPr>
              <w:pStyle w:val="ListParagraph"/>
              <w:numPr>
                <w:ilvl w:val="0"/>
                <w:numId w:val="1"/>
              </w:numPr>
              <w:spacing w:after="120"/>
              <w:ind w:left="450" w:hanging="270"/>
              <w:rPr>
                <w:rFonts w:ascii="Arial" w:hAnsi="Arial" w:cs="Arial"/>
                <w:sz w:val="20"/>
                <w:szCs w:val="20"/>
              </w:rPr>
            </w:pPr>
            <w:r w:rsidRPr="00C207E3">
              <w:rPr>
                <w:rFonts w:ascii="Arial" w:hAnsi="Arial" w:cs="Arial"/>
                <w:sz w:val="20"/>
                <w:szCs w:val="20"/>
              </w:rPr>
              <w:t>National origin</w:t>
            </w:r>
          </w:p>
          <w:p w14:paraId="5A0B45C2" w14:textId="77777777" w:rsidR="00C64001" w:rsidRPr="00C207E3" w:rsidRDefault="00C64001" w:rsidP="00277A00">
            <w:pPr>
              <w:pStyle w:val="ListParagraph"/>
              <w:numPr>
                <w:ilvl w:val="0"/>
                <w:numId w:val="1"/>
              </w:numPr>
              <w:spacing w:after="120"/>
              <w:ind w:left="450" w:hanging="270"/>
              <w:rPr>
                <w:rFonts w:ascii="Arial" w:hAnsi="Arial" w:cs="Arial"/>
                <w:sz w:val="20"/>
                <w:szCs w:val="20"/>
              </w:rPr>
            </w:pPr>
            <w:r w:rsidRPr="00C207E3">
              <w:rPr>
                <w:rFonts w:ascii="Arial" w:hAnsi="Arial" w:cs="Arial"/>
                <w:sz w:val="20"/>
                <w:szCs w:val="20"/>
              </w:rPr>
              <w:t xml:space="preserve">Age, provided the applicant is of legal </w:t>
            </w:r>
            <w:proofErr w:type="gramStart"/>
            <w:r w:rsidRPr="00C207E3">
              <w:rPr>
                <w:rFonts w:ascii="Arial" w:hAnsi="Arial" w:cs="Arial"/>
                <w:sz w:val="20"/>
                <w:szCs w:val="20"/>
              </w:rPr>
              <w:t>age</w:t>
            </w:r>
            <w:proofErr w:type="gramEnd"/>
          </w:p>
          <w:p w14:paraId="7D7FFA3D" w14:textId="77777777" w:rsidR="00C64001" w:rsidRPr="00C207E3" w:rsidRDefault="00C64001" w:rsidP="00277A00">
            <w:pPr>
              <w:pStyle w:val="ListParagraph"/>
              <w:numPr>
                <w:ilvl w:val="0"/>
                <w:numId w:val="1"/>
              </w:numPr>
              <w:spacing w:after="120"/>
              <w:ind w:left="450" w:hanging="270"/>
              <w:rPr>
                <w:rFonts w:ascii="Arial" w:hAnsi="Arial" w:cs="Arial"/>
                <w:sz w:val="20"/>
                <w:szCs w:val="20"/>
              </w:rPr>
            </w:pPr>
            <w:r w:rsidRPr="00C207E3">
              <w:rPr>
                <w:rFonts w:ascii="Arial" w:hAnsi="Arial" w:cs="Arial"/>
                <w:sz w:val="20"/>
                <w:szCs w:val="20"/>
              </w:rPr>
              <w:t xml:space="preserve">Income derived from public </w:t>
            </w:r>
            <w:proofErr w:type="gramStart"/>
            <w:r w:rsidRPr="00C207E3">
              <w:rPr>
                <w:rFonts w:ascii="Arial" w:hAnsi="Arial" w:cs="Arial"/>
                <w:sz w:val="20"/>
                <w:szCs w:val="20"/>
              </w:rPr>
              <w:t>assistance</w:t>
            </w:r>
            <w:proofErr w:type="gramEnd"/>
          </w:p>
          <w:p w14:paraId="31B00367" w14:textId="77777777" w:rsidR="00C64001" w:rsidRPr="008F1B6F" w:rsidRDefault="00C64001" w:rsidP="00277A00">
            <w:pPr>
              <w:pStyle w:val="ListParagraph"/>
              <w:numPr>
                <w:ilvl w:val="0"/>
                <w:numId w:val="1"/>
              </w:numPr>
              <w:spacing w:after="240"/>
              <w:ind w:left="450" w:hanging="270"/>
              <w:rPr>
                <w:rFonts w:ascii="Arial" w:hAnsi="Arial" w:cs="Arial"/>
                <w:sz w:val="20"/>
                <w:szCs w:val="20"/>
              </w:rPr>
            </w:pPr>
            <w:r w:rsidRPr="00C207E3">
              <w:rPr>
                <w:rFonts w:ascii="Arial" w:hAnsi="Arial" w:cs="Arial"/>
                <w:sz w:val="20"/>
                <w:szCs w:val="20"/>
              </w:rPr>
              <w:t>The fact that the applicant has, in good faith, exercised any right under the Consumer Credit Protection Act (e.g., the right to lodge a complaint)</w:t>
            </w:r>
          </w:p>
        </w:tc>
      </w:tr>
    </w:tbl>
    <w:p w14:paraId="56217DBD" w14:textId="1BC2E7DD" w:rsidR="00C64001" w:rsidRPr="00C207E3" w:rsidRDefault="00C64001" w:rsidP="00C64001">
      <w:pPr>
        <w:spacing w:after="120"/>
        <w:rPr>
          <w:rFonts w:ascii="Arial" w:hAnsi="Arial" w:cs="Arial"/>
          <w:sz w:val="20"/>
          <w:szCs w:val="20"/>
        </w:rPr>
      </w:pPr>
      <w:r w:rsidRPr="00C207E3">
        <w:rPr>
          <w:rFonts w:ascii="Arial" w:hAnsi="Arial" w:cs="Arial"/>
          <w:sz w:val="20"/>
          <w:szCs w:val="20"/>
        </w:rPr>
        <w:t>State law may prohibit discrimination on additional prohibited bases, such as military status, familial status</w:t>
      </w:r>
      <w:r>
        <w:rPr>
          <w:rFonts w:ascii="Arial" w:hAnsi="Arial" w:cs="Arial"/>
          <w:sz w:val="20"/>
          <w:szCs w:val="20"/>
        </w:rPr>
        <w:br/>
      </w:r>
      <w:r w:rsidRPr="00C207E3">
        <w:rPr>
          <w:rFonts w:ascii="Arial" w:hAnsi="Arial" w:cs="Arial"/>
          <w:sz w:val="20"/>
          <w:szCs w:val="20"/>
        </w:rPr>
        <w:t>and/or disability.</w:t>
      </w:r>
      <w:r w:rsidRPr="00C207E3">
        <w:rPr>
          <w:rStyle w:val="FootnoteReference"/>
          <w:rFonts w:ascii="Arial" w:hAnsi="Arial" w:cs="Arial"/>
          <w:sz w:val="20"/>
          <w:szCs w:val="20"/>
        </w:rPr>
        <w:t>*</w:t>
      </w:r>
      <w:r w:rsidRPr="00C207E3">
        <w:rPr>
          <w:rFonts w:ascii="Arial" w:hAnsi="Arial" w:cs="Arial"/>
          <w:sz w:val="20"/>
          <w:szCs w:val="20"/>
        </w:rPr>
        <w:t xml:space="preserve"> </w:t>
      </w:r>
    </w:p>
    <w:p w14:paraId="5DE1A096" w14:textId="04D3374A" w:rsidR="00C64001" w:rsidRPr="00C207E3" w:rsidRDefault="00C64001" w:rsidP="00C64001">
      <w:pPr>
        <w:spacing w:after="120"/>
        <w:rPr>
          <w:rFonts w:ascii="Arial" w:hAnsi="Arial" w:cs="Arial"/>
          <w:sz w:val="20"/>
          <w:szCs w:val="20"/>
        </w:rPr>
      </w:pPr>
      <w:r w:rsidRPr="00C207E3">
        <w:rPr>
          <w:rFonts w:ascii="Arial" w:hAnsi="Arial" w:cs="Arial"/>
          <w:sz w:val="20"/>
          <w:szCs w:val="20"/>
        </w:rPr>
        <w:t>To ensure compliance and meet regulatory expectations, dealers must provide their personnel with fair lending training</w:t>
      </w:r>
      <w:r>
        <w:rPr>
          <w:rFonts w:ascii="Arial" w:hAnsi="Arial" w:cs="Arial"/>
          <w:sz w:val="20"/>
          <w:szCs w:val="20"/>
        </w:rPr>
        <w:br/>
      </w:r>
      <w:r w:rsidRPr="00C207E3">
        <w:rPr>
          <w:rFonts w:ascii="Arial" w:hAnsi="Arial" w:cs="Arial"/>
          <w:sz w:val="20"/>
          <w:szCs w:val="20"/>
        </w:rPr>
        <w:t xml:space="preserve">and maintain appropriate records detailing the timing, format, </w:t>
      </w:r>
      <w:proofErr w:type="gramStart"/>
      <w:r w:rsidRPr="00C207E3">
        <w:rPr>
          <w:rFonts w:ascii="Arial" w:hAnsi="Arial" w:cs="Arial"/>
          <w:sz w:val="20"/>
          <w:szCs w:val="20"/>
        </w:rPr>
        <w:t>content</w:t>
      </w:r>
      <w:proofErr w:type="gramEnd"/>
      <w:r w:rsidRPr="00C207E3">
        <w:rPr>
          <w:rFonts w:ascii="Arial" w:hAnsi="Arial" w:cs="Arial"/>
          <w:sz w:val="20"/>
          <w:szCs w:val="20"/>
        </w:rPr>
        <w:t xml:space="preserve"> and attendees of training.</w:t>
      </w:r>
      <w:r w:rsidRPr="00C207E3">
        <w:rPr>
          <w:rStyle w:val="FootnoteReference"/>
          <w:rFonts w:ascii="Arial" w:hAnsi="Arial" w:cs="Arial"/>
          <w:sz w:val="20"/>
          <w:szCs w:val="20"/>
        </w:rPr>
        <w:t>*</w:t>
      </w:r>
    </w:p>
    <w:p w14:paraId="33DA8E08" w14:textId="455FA63B" w:rsidR="00C64001" w:rsidRDefault="00C64001" w:rsidP="00C64001">
      <w:pPr>
        <w:spacing w:after="120"/>
        <w:rPr>
          <w:rFonts w:ascii="Arial" w:hAnsi="Arial" w:cs="Arial"/>
          <w:sz w:val="20"/>
          <w:szCs w:val="20"/>
        </w:rPr>
      </w:pPr>
      <w:r w:rsidRPr="00C207E3">
        <w:rPr>
          <w:rFonts w:ascii="Arial" w:hAnsi="Arial" w:cs="Arial"/>
          <w:sz w:val="20"/>
          <w:szCs w:val="20"/>
        </w:rPr>
        <w:t>Below are links to helpful fair lending resources:</w:t>
      </w:r>
    </w:p>
    <w:p w14:paraId="5F3367DB" w14:textId="46F5AFC1" w:rsidR="009940CC" w:rsidRPr="00B35475" w:rsidRDefault="00000000" w:rsidP="00B35475">
      <w:pPr>
        <w:pStyle w:val="ListParagraph"/>
        <w:numPr>
          <w:ilvl w:val="0"/>
          <w:numId w:val="1"/>
        </w:numPr>
        <w:spacing w:before="120" w:after="120" w:line="276" w:lineRule="auto"/>
        <w:ind w:left="450" w:hanging="270"/>
        <w:rPr>
          <w:rFonts w:ascii="Arial" w:hAnsi="Arial" w:cs="Arial"/>
          <w:sz w:val="20"/>
          <w:szCs w:val="20"/>
        </w:rPr>
      </w:pPr>
      <w:hyperlink w:history="1">
        <w:r w:rsidR="009940CC" w:rsidRPr="00B35475">
          <w:rPr>
            <w:rStyle w:val="Hyperlink"/>
            <w:rFonts w:ascii="Arial" w:hAnsi="Arial" w:cs="Arial"/>
            <w:sz w:val="20"/>
            <w:szCs w:val="20"/>
          </w:rPr>
          <w:t>https://www.ftc.gov/news-events/media-resources/consumer-finance/auto-marketplace</w:t>
        </w:r>
      </w:hyperlink>
    </w:p>
    <w:p w14:paraId="5950D9D8" w14:textId="32EA0692" w:rsidR="009940CC" w:rsidRPr="00B35475" w:rsidRDefault="00000000" w:rsidP="00B35475">
      <w:pPr>
        <w:pStyle w:val="ListParagraph"/>
        <w:numPr>
          <w:ilvl w:val="0"/>
          <w:numId w:val="1"/>
        </w:numPr>
        <w:spacing w:after="120" w:line="276" w:lineRule="auto"/>
        <w:ind w:left="450" w:hanging="270"/>
        <w:rPr>
          <w:rFonts w:ascii="Arial" w:hAnsi="Arial" w:cs="Arial"/>
          <w:sz w:val="20"/>
          <w:szCs w:val="20"/>
        </w:rPr>
      </w:pPr>
      <w:hyperlink w:history="1">
        <w:r w:rsidR="009940CC" w:rsidRPr="00B35475">
          <w:rPr>
            <w:rStyle w:val="Hyperlink"/>
            <w:rFonts w:ascii="Arial" w:hAnsi="Arial" w:cs="Arial"/>
            <w:sz w:val="20"/>
            <w:szCs w:val="20"/>
          </w:rPr>
          <w:t>https://www.consumer.ftc.gov/articles/0347-your-equal-credit-opportunity-rights</w:t>
        </w:r>
      </w:hyperlink>
    </w:p>
    <w:p w14:paraId="6287A631" w14:textId="25B8CC37" w:rsidR="00C64001" w:rsidRDefault="00C64001" w:rsidP="00B35475">
      <w:pPr>
        <w:rPr>
          <w:rFonts w:ascii="Arial" w:hAnsi="Arial" w:cs="Arial"/>
          <w:sz w:val="20"/>
          <w:szCs w:val="20"/>
        </w:rPr>
      </w:pPr>
      <w:r w:rsidRPr="00C207E3">
        <w:rPr>
          <w:rFonts w:ascii="Arial" w:hAnsi="Arial" w:cs="Arial"/>
          <w:sz w:val="20"/>
          <w:szCs w:val="20"/>
        </w:rPr>
        <w:t xml:space="preserve">If you have any questions regarding our fair lending </w:t>
      </w:r>
      <w:proofErr w:type="gramStart"/>
      <w:r w:rsidRPr="00C207E3">
        <w:rPr>
          <w:rFonts w:ascii="Arial" w:hAnsi="Arial" w:cs="Arial"/>
          <w:sz w:val="20"/>
          <w:szCs w:val="20"/>
        </w:rPr>
        <w:t>initiatives</w:t>
      </w:r>
      <w:proofErr w:type="gramEnd"/>
      <w:r w:rsidRPr="00C207E3">
        <w:rPr>
          <w:rFonts w:ascii="Arial" w:hAnsi="Arial" w:cs="Arial"/>
          <w:sz w:val="20"/>
          <w:szCs w:val="20"/>
        </w:rPr>
        <w:t xml:space="preserve"> please contact your Dealer</w:t>
      </w:r>
      <w:r>
        <w:rPr>
          <w:rFonts w:ascii="Arial" w:hAnsi="Arial" w:cs="Arial"/>
          <w:sz w:val="20"/>
          <w:szCs w:val="20"/>
        </w:rPr>
        <w:t xml:space="preserve"> </w:t>
      </w:r>
      <w:r w:rsidRPr="00C207E3">
        <w:rPr>
          <w:rFonts w:ascii="Arial" w:hAnsi="Arial" w:cs="Arial"/>
          <w:sz w:val="20"/>
          <w:szCs w:val="20"/>
        </w:rPr>
        <w:t>Relationship Manager.</w:t>
      </w:r>
      <w:r w:rsidRPr="00C207E3">
        <w:rPr>
          <w:rFonts w:ascii="Arial" w:hAnsi="Arial" w:cs="Arial"/>
          <w:sz w:val="20"/>
          <w:szCs w:val="20"/>
        </w:rPr>
        <w:br/>
      </w:r>
      <w:r w:rsidRPr="00C207E3">
        <w:rPr>
          <w:rFonts w:ascii="Arial" w:hAnsi="Arial" w:cs="Arial"/>
          <w:sz w:val="20"/>
          <w:szCs w:val="20"/>
        </w:rPr>
        <w:br/>
        <w:t>Sincerely,</w:t>
      </w:r>
      <w:r w:rsidRPr="00C207E3">
        <w:rPr>
          <w:rFonts w:ascii="Arial" w:hAnsi="Arial" w:cs="Arial"/>
          <w:sz w:val="20"/>
          <w:szCs w:val="20"/>
        </w:rPr>
        <w:br/>
      </w:r>
      <w:r>
        <w:rPr>
          <w:rFonts w:ascii="Arial" w:hAnsi="Arial" w:cs="Arial"/>
          <w:sz w:val="20"/>
          <w:szCs w:val="20"/>
        </w:rPr>
        <w:t>Chrysler Capital</w:t>
      </w:r>
    </w:p>
    <w:p w14:paraId="08FF851D" w14:textId="77777777" w:rsidR="00C64001" w:rsidRDefault="00C64001" w:rsidP="00C64001">
      <w:pPr>
        <w:spacing w:after="120"/>
        <w:rPr>
          <w:rFonts w:ascii="Arial" w:hAnsi="Arial" w:cs="Arial"/>
          <w:sz w:val="20"/>
          <w:szCs w:val="20"/>
        </w:rPr>
      </w:pPr>
    </w:p>
    <w:p w14:paraId="269F32C9" w14:textId="2310FB89" w:rsidR="00DC2475" w:rsidRPr="00677141" w:rsidRDefault="00C64001" w:rsidP="00C64001">
      <w:pPr>
        <w:spacing w:after="120"/>
        <w:rPr>
          <w:rFonts w:ascii="Arial" w:hAnsi="Arial" w:cs="Arial"/>
          <w:b/>
          <w:bCs/>
          <w:sz w:val="22"/>
          <w:szCs w:val="22"/>
        </w:rPr>
      </w:pPr>
      <w:r w:rsidRPr="00677141">
        <w:rPr>
          <w:rFonts w:ascii="Arial" w:hAnsi="Arial" w:cs="Arial"/>
          <w:b/>
          <w:bCs/>
          <w:i/>
          <w:iCs/>
          <w:sz w:val="20"/>
          <w:szCs w:val="20"/>
        </w:rPr>
        <w:t>*New York Dealers</w:t>
      </w:r>
      <w:r w:rsidRPr="00FF1024">
        <w:rPr>
          <w:rFonts w:ascii="Arial" w:hAnsi="Arial" w:cs="Arial"/>
          <w:i/>
          <w:iCs/>
          <w:sz w:val="20"/>
          <w:szCs w:val="20"/>
        </w:rPr>
        <w:t>: New York law (</w:t>
      </w:r>
      <w:hyperlink r:id="rId8" w:history="1">
        <w:r w:rsidRPr="00FF1024">
          <w:rPr>
            <w:rStyle w:val="Hyperlink"/>
            <w:rFonts w:ascii="Arial" w:hAnsi="Arial" w:cs="Arial"/>
            <w:i/>
            <w:iCs/>
            <w:sz w:val="20"/>
            <w:szCs w:val="20"/>
          </w:rPr>
          <w:t>New York Executive Law, Section 296-a</w:t>
        </w:r>
      </w:hyperlink>
      <w:r w:rsidRPr="00FF1024">
        <w:rPr>
          <w:rFonts w:ascii="Arial" w:hAnsi="Arial" w:cs="Arial"/>
          <w:i/>
          <w:iCs/>
          <w:sz w:val="20"/>
          <w:szCs w:val="20"/>
        </w:rPr>
        <w:t xml:space="preserve">) </w:t>
      </w:r>
      <w:r w:rsidR="00237F24" w:rsidRPr="00FF1024">
        <w:rPr>
          <w:rFonts w:ascii="Arial" w:hAnsi="Arial" w:cs="Arial"/>
          <w:i/>
          <w:iCs/>
          <w:sz w:val="20"/>
          <w:szCs w:val="20"/>
        </w:rPr>
        <w:t>prohibits discrimination on the basis of race, creed, color, national origin, citizenship or immigration status, sexual orientation, gender identity or expression, military status, age, sex, marital status, status as a victim of domestic violence, disability, or familial status. In addition to records referenced above, dealers must maintain individual certifications confirming that personnel understand and commit to fair lending compliance, specifically Section 296-a</w:t>
      </w:r>
      <w:r w:rsidRPr="00FF1024">
        <w:rPr>
          <w:rFonts w:ascii="Arial" w:hAnsi="Arial" w:cs="Arial"/>
          <w:i/>
          <w:iCs/>
          <w:sz w:val="20"/>
          <w:szCs w:val="20"/>
        </w:rPr>
        <w:t>.</w:t>
      </w:r>
      <w:r w:rsidRPr="00677141">
        <w:rPr>
          <w:rFonts w:ascii="Arial" w:hAnsi="Arial" w:cs="Arial"/>
          <w:b/>
          <w:bCs/>
          <w:noProof/>
          <w:sz w:val="22"/>
          <w:szCs w:val="22"/>
        </w:rPr>
        <w:t xml:space="preserve"> </w:t>
      </w:r>
    </w:p>
    <w:sectPr w:rsidR="00DC2475" w:rsidRPr="00677141" w:rsidSect="00C6400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AD93" w14:textId="77777777" w:rsidR="000E29A9" w:rsidRDefault="000E29A9" w:rsidP="00CC6102">
      <w:r>
        <w:separator/>
      </w:r>
    </w:p>
  </w:endnote>
  <w:endnote w:type="continuationSeparator" w:id="0">
    <w:p w14:paraId="32CA3944" w14:textId="77777777" w:rsidR="000E29A9" w:rsidRDefault="000E29A9" w:rsidP="00CC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BB9F" w14:textId="77777777" w:rsidR="00237F24" w:rsidRDefault="00237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4463" w14:textId="1A4462F2" w:rsidR="00853FDE" w:rsidRPr="004C5737" w:rsidRDefault="00853FDE" w:rsidP="00C64001">
    <w:pPr>
      <w:autoSpaceDE w:val="0"/>
      <w:autoSpaceDN w:val="0"/>
      <w:adjustRightInd w:val="0"/>
      <w:rPr>
        <w:rFonts w:ascii="Arial" w:hAnsi="Arial" w:cs="Arial"/>
        <w:b/>
        <w:bCs/>
        <w:color w:val="3F95D1"/>
        <w:sz w:val="20"/>
        <w:szCs w:val="20"/>
      </w:rPr>
    </w:pPr>
    <w:r w:rsidRPr="004C5737">
      <w:rPr>
        <w:rFonts w:ascii="Arial" w:hAnsi="Arial" w:cs="Arial"/>
        <w:b/>
        <w:bCs/>
        <w:color w:val="3F95D1"/>
        <w:sz w:val="20"/>
        <w:szCs w:val="20"/>
      </w:rPr>
      <w:t>Chrysler Capital 1601 Elm Street #800, Dallas, Texas 75201</w:t>
    </w:r>
  </w:p>
  <w:p w14:paraId="16BC59FE" w14:textId="77777777" w:rsidR="00853FDE" w:rsidRPr="004C5737" w:rsidRDefault="00853FDE" w:rsidP="00853FDE">
    <w:pPr>
      <w:autoSpaceDE w:val="0"/>
      <w:autoSpaceDN w:val="0"/>
      <w:adjustRightInd w:val="0"/>
      <w:rPr>
        <w:rFonts w:ascii="Arial Narrow" w:hAnsi="Arial Narrow" w:cs="Arial"/>
        <w:color w:val="5F6062"/>
        <w:sz w:val="22"/>
        <w:szCs w:val="22"/>
      </w:rPr>
    </w:pPr>
  </w:p>
  <w:p w14:paraId="52D51873" w14:textId="1802EC19" w:rsidR="00853FDE" w:rsidRPr="004C5737" w:rsidRDefault="00853FDE" w:rsidP="00853FDE">
    <w:pPr>
      <w:autoSpaceDE w:val="0"/>
      <w:autoSpaceDN w:val="0"/>
      <w:adjustRightInd w:val="0"/>
      <w:rPr>
        <w:rFonts w:ascii="Arial Narrow" w:hAnsi="Arial Narrow" w:cs="Arial"/>
        <w:color w:val="333333"/>
        <w:sz w:val="20"/>
        <w:szCs w:val="20"/>
      </w:rPr>
    </w:pPr>
    <w:r w:rsidRPr="004C5737">
      <w:rPr>
        <w:rFonts w:ascii="Arial Narrow" w:hAnsi="Arial Narrow" w:cs="Arial"/>
        <w:color w:val="333333"/>
        <w:sz w:val="20"/>
        <w:szCs w:val="20"/>
      </w:rPr>
      <w:t>©202</w:t>
    </w:r>
    <w:r w:rsidR="005C0747">
      <w:rPr>
        <w:rFonts w:ascii="Arial Narrow" w:hAnsi="Arial Narrow" w:cs="Arial"/>
        <w:color w:val="333333"/>
        <w:sz w:val="20"/>
        <w:szCs w:val="20"/>
      </w:rPr>
      <w:t>3</w:t>
    </w:r>
    <w:r w:rsidRPr="004C5737">
      <w:rPr>
        <w:rFonts w:ascii="Arial Narrow" w:hAnsi="Arial Narrow" w:cs="Arial"/>
        <w:color w:val="333333"/>
        <w:sz w:val="20"/>
        <w:szCs w:val="20"/>
      </w:rPr>
      <w:t xml:space="preserve"> Santander Consumer USA Inc. All rights reserved.</w:t>
    </w:r>
  </w:p>
  <w:p w14:paraId="5417CFF0" w14:textId="77777777" w:rsidR="00853FDE" w:rsidRPr="004C5737" w:rsidRDefault="00853FDE" w:rsidP="00853FDE">
    <w:pPr>
      <w:autoSpaceDE w:val="0"/>
      <w:autoSpaceDN w:val="0"/>
      <w:adjustRightInd w:val="0"/>
      <w:rPr>
        <w:rFonts w:ascii="Arial Narrow" w:hAnsi="Arial Narrow" w:cs="Arial"/>
        <w:color w:val="333333"/>
        <w:sz w:val="20"/>
        <w:szCs w:val="20"/>
      </w:rPr>
    </w:pPr>
    <w:r w:rsidRPr="004C5737">
      <w:rPr>
        <w:rFonts w:ascii="Arial Narrow" w:hAnsi="Arial Narrow" w:cs="Arial"/>
        <w:color w:val="333333"/>
        <w:sz w:val="20"/>
        <w:szCs w:val="20"/>
      </w:rPr>
      <w:t>Chrysler Capital is a registered trademark of FCA US LLC and licensed to Santander Consumer USA Inc.</w:t>
    </w:r>
  </w:p>
  <w:p w14:paraId="79D7183B" w14:textId="314CDEDE" w:rsidR="00CC6102" w:rsidRPr="00C64001" w:rsidRDefault="00853FDE" w:rsidP="00C64001">
    <w:pPr>
      <w:autoSpaceDE w:val="0"/>
      <w:autoSpaceDN w:val="0"/>
      <w:adjustRightInd w:val="0"/>
      <w:rPr>
        <w:rFonts w:ascii="Arial Narrow" w:hAnsi="Arial Narrow" w:cs="Arial"/>
      </w:rPr>
    </w:pPr>
    <w:r w:rsidRPr="004C5737">
      <w:rPr>
        <w:rFonts w:ascii="Arial Narrow" w:hAnsi="Arial Narrow" w:cs="Arial"/>
        <w:color w:val="333333"/>
        <w:sz w:val="20"/>
        <w:szCs w:val="20"/>
      </w:rPr>
      <w:t xml:space="preserve">All other trademarks are the property of their respective owners. </w:t>
    </w:r>
    <w:r w:rsidR="005C0747" w:rsidRPr="005C0747">
      <w:rPr>
        <w:rFonts w:ascii="Arial Narrow" w:hAnsi="Arial Narrow" w:cs="Arial"/>
        <w:color w:val="333333"/>
        <w:sz w:val="20"/>
        <w:szCs w:val="20"/>
      </w:rPr>
      <w:t>CCAP-606650-DLR</w:t>
    </w:r>
    <w:r w:rsidRPr="004C5737">
      <w:rPr>
        <w:rFonts w:ascii="Arial Narrow" w:hAnsi="Arial Narrow" w:cs="Arial"/>
        <w:color w:val="333333"/>
        <w:sz w:val="20"/>
        <w:szCs w:val="20"/>
      </w:rPr>
      <w:t>_</w:t>
    </w:r>
    <w:r w:rsidR="00237F24">
      <w:rPr>
        <w:rFonts w:ascii="Arial Narrow" w:hAnsi="Arial Narrow" w:cs="Arial"/>
        <w:color w:val="333333"/>
        <w:sz w:val="20"/>
        <w:szCs w:val="20"/>
      </w:rPr>
      <w:t>0306</w:t>
    </w:r>
    <w:r w:rsidR="003206F6">
      <w:rPr>
        <w:rFonts w:ascii="Arial Narrow" w:hAnsi="Arial Narrow" w:cs="Arial"/>
        <w:color w:val="333333"/>
        <w:sz w:val="20"/>
        <w:szCs w:val="20"/>
      </w:rPr>
      <w:t>2</w:t>
    </w:r>
    <w:r w:rsidR="005C0747">
      <w:rPr>
        <w:rFonts w:ascii="Arial Narrow" w:hAnsi="Arial Narrow" w:cs="Arial"/>
        <w:color w:val="333333"/>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F6E2" w14:textId="77777777" w:rsidR="00237F24" w:rsidRDefault="00237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4A0F" w14:textId="77777777" w:rsidR="000E29A9" w:rsidRDefault="000E29A9" w:rsidP="00CC6102">
      <w:r>
        <w:separator/>
      </w:r>
    </w:p>
  </w:footnote>
  <w:footnote w:type="continuationSeparator" w:id="0">
    <w:p w14:paraId="40D5317A" w14:textId="77777777" w:rsidR="000E29A9" w:rsidRDefault="000E29A9" w:rsidP="00CC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429B" w14:textId="77777777" w:rsidR="00237F24" w:rsidRDefault="00237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AD90" w14:textId="7A69B745" w:rsidR="00853FDE" w:rsidRDefault="00C64001">
    <w:pPr>
      <w:pStyle w:val="Header"/>
    </w:pPr>
    <w:r w:rsidRPr="00853FDE">
      <w:rPr>
        <w:noProof/>
      </w:rPr>
      <mc:AlternateContent>
        <mc:Choice Requires="wps">
          <w:drawing>
            <wp:anchor distT="0" distB="0" distL="114300" distR="114300" simplePos="0" relativeHeight="251662336" behindDoc="0" locked="0" layoutInCell="1" allowOverlap="1" wp14:anchorId="587F0E26" wp14:editId="765CC6C8">
              <wp:simplePos x="0" y="0"/>
              <wp:positionH relativeFrom="column">
                <wp:posOffset>2300605</wp:posOffset>
              </wp:positionH>
              <wp:positionV relativeFrom="paragraph">
                <wp:posOffset>114935</wp:posOffset>
              </wp:positionV>
              <wp:extent cx="0" cy="68580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0" cy="685800"/>
                      </a:xfrm>
                      <a:prstGeom prst="line">
                        <a:avLst/>
                      </a:prstGeom>
                      <a:ln>
                        <a:solidFill>
                          <a:schemeClr val="bg1"/>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DD7D5"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15pt,9.05pt" to="181.15pt,6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" strokecolor="white [3212]" strokeweight=".5pt">
              <v:stroke joinstyle="miter"/>
            </v:line>
          </w:pict>
        </mc:Fallback>
      </mc:AlternateContent>
    </w:r>
    <w:r w:rsidRPr="00853FDE">
      <w:rPr>
        <w:noProof/>
      </w:rPr>
      <w:drawing>
        <wp:anchor distT="0" distB="0" distL="114300" distR="114300" simplePos="0" relativeHeight="251661312" behindDoc="1" locked="0" layoutInCell="1" allowOverlap="1" wp14:anchorId="0CFA9C3F" wp14:editId="253827D4">
          <wp:simplePos x="0" y="0"/>
          <wp:positionH relativeFrom="column">
            <wp:posOffset>-256540</wp:posOffset>
          </wp:positionH>
          <wp:positionV relativeFrom="page">
            <wp:posOffset>564515</wp:posOffset>
          </wp:positionV>
          <wp:extent cx="2573655" cy="681990"/>
          <wp:effectExtent l="0" t="0" r="0" b="0"/>
          <wp:wrapTight wrapText="bothSides">
            <wp:wrapPolygon edited="0">
              <wp:start x="2558" y="3218"/>
              <wp:lineTo x="1919" y="5229"/>
              <wp:lineTo x="2025" y="10860"/>
              <wp:lineTo x="3944" y="16894"/>
              <wp:lineTo x="4157" y="18101"/>
              <wp:lineTo x="18333" y="18101"/>
              <wp:lineTo x="18440" y="16894"/>
              <wp:lineTo x="19719" y="10860"/>
              <wp:lineTo x="19079" y="10458"/>
              <wp:lineTo x="10765" y="10458"/>
              <wp:lineTo x="19506" y="8849"/>
              <wp:lineTo x="19825" y="4827"/>
              <wp:lineTo x="18866" y="3218"/>
              <wp:lineTo x="2558" y="321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573655" cy="681990"/>
                  </a:xfrm>
                  <a:prstGeom prst="rect">
                    <a:avLst/>
                  </a:prstGeom>
                </pic:spPr>
              </pic:pic>
            </a:graphicData>
          </a:graphic>
          <wp14:sizeRelH relativeFrom="page">
            <wp14:pctWidth>0</wp14:pctWidth>
          </wp14:sizeRelH>
          <wp14:sizeRelV relativeFrom="page">
            <wp14:pctHeight>0</wp14:pctHeight>
          </wp14:sizeRelV>
        </wp:anchor>
      </w:drawing>
    </w:r>
    <w:r w:rsidRPr="00853FDE">
      <w:rPr>
        <w:noProof/>
      </w:rPr>
      <mc:AlternateContent>
        <mc:Choice Requires="wps">
          <w:drawing>
            <wp:anchor distT="0" distB="0" distL="114300" distR="114300" simplePos="0" relativeHeight="251660288" behindDoc="0" locked="0" layoutInCell="1" allowOverlap="1" wp14:anchorId="0F246D1C" wp14:editId="07460B9D">
              <wp:simplePos x="0" y="0"/>
              <wp:positionH relativeFrom="column">
                <wp:posOffset>2431415</wp:posOffset>
              </wp:positionH>
              <wp:positionV relativeFrom="page">
                <wp:posOffset>616585</wp:posOffset>
              </wp:positionV>
              <wp:extent cx="6172200" cy="67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673100"/>
                      </a:xfrm>
                      <a:prstGeom prst="rect">
                        <a:avLst/>
                      </a:prstGeom>
                      <a:noFill/>
                      <a:ln w="6350">
                        <a:noFill/>
                      </a:ln>
                    </wps:spPr>
                    <wps:txbx>
                      <w:txbxContent>
                        <w:p w14:paraId="1EB5EDA3" w14:textId="77777777" w:rsidR="00853FDE" w:rsidRPr="004C5737" w:rsidRDefault="00853FDE" w:rsidP="00853FDE">
                          <w:pPr>
                            <w:autoSpaceDE w:val="0"/>
                            <w:autoSpaceDN w:val="0"/>
                            <w:adjustRightInd w:val="0"/>
                            <w:rPr>
                              <w:rFonts w:ascii="Arial Narrow" w:hAnsi="Arial Narrow" w:cs="Arial"/>
                              <w:color w:val="FFFFFF" w:themeColor="background1"/>
                              <w:sz w:val="34"/>
                              <w:szCs w:val="34"/>
                            </w:rPr>
                          </w:pPr>
                          <w:r w:rsidRPr="004C5737">
                            <w:rPr>
                              <w:rFonts w:ascii="Arial Narrow" w:hAnsi="Arial Narrow" w:cs="Arial"/>
                              <w:color w:val="FFFFFF" w:themeColor="background1"/>
                              <w:sz w:val="34"/>
                              <w:szCs w:val="34"/>
                            </w:rPr>
                            <w:t>Fair Lending Notice</w:t>
                          </w:r>
                        </w:p>
                        <w:p w14:paraId="446A5989" w14:textId="77777777" w:rsidR="00853FDE" w:rsidRPr="004C5737" w:rsidRDefault="00853FDE" w:rsidP="00853FDE">
                          <w:pPr>
                            <w:autoSpaceDE w:val="0"/>
                            <w:autoSpaceDN w:val="0"/>
                            <w:adjustRightInd w:val="0"/>
                            <w:rPr>
                              <w:rFonts w:ascii="Arial Narrow" w:hAnsi="Arial Narrow" w:cs="Arial"/>
                              <w:b/>
                              <w:bCs/>
                              <w:color w:val="FFFFFF" w:themeColor="background1"/>
                              <w:sz w:val="34"/>
                              <w:szCs w:val="34"/>
                            </w:rPr>
                          </w:pPr>
                          <w:r w:rsidRPr="004C5737">
                            <w:rPr>
                              <w:rFonts w:ascii="Arial Narrow" w:hAnsi="Arial Narrow" w:cs="Arial"/>
                              <w:b/>
                              <w:bCs/>
                              <w:color w:val="FFFFFF" w:themeColor="background1"/>
                              <w:sz w:val="34"/>
                              <w:szCs w:val="34"/>
                            </w:rPr>
                            <w:t>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6D1C" id="_x0000_t202" coordsize="21600,21600" o:spt="202" path="m,l,21600r21600,l21600,xe">
              <v:stroke joinstyle="miter"/>
              <v:path gradientshapeok="t" o:connecttype="rect"/>
            </v:shapetype>
            <v:shape id="Text Box 1" o:spid="_x0000_s1026" type="#_x0000_t202" style="position:absolute;margin-left:191.45pt;margin-top:48.55pt;width:486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" filled="f" stroked="f" strokeweight=".5pt">
              <v:textbox>
                <w:txbxContent>
                  <w:p w14:paraId="1EB5EDA3" w14:textId="77777777" w:rsidR="00853FDE" w:rsidRPr="004C5737" w:rsidRDefault="00853FDE" w:rsidP="00853FDE">
                    <w:pPr>
                      <w:autoSpaceDE w:val="0"/>
                      <w:autoSpaceDN w:val="0"/>
                      <w:adjustRightInd w:val="0"/>
                      <w:rPr>
                        <w:rFonts w:ascii="Arial Narrow" w:hAnsi="Arial Narrow" w:cs="Arial"/>
                        <w:color w:val="FFFFFF" w:themeColor="background1"/>
                        <w:sz w:val="34"/>
                        <w:szCs w:val="34"/>
                      </w:rPr>
                    </w:pPr>
                    <w:r w:rsidRPr="004C5737">
                      <w:rPr>
                        <w:rFonts w:ascii="Arial Narrow" w:hAnsi="Arial Narrow" w:cs="Arial"/>
                        <w:color w:val="FFFFFF" w:themeColor="background1"/>
                        <w:sz w:val="34"/>
                        <w:szCs w:val="34"/>
                      </w:rPr>
                      <w:t>Fair Lending Notice</w:t>
                    </w:r>
                  </w:p>
                  <w:p w14:paraId="446A5989" w14:textId="77777777" w:rsidR="00853FDE" w:rsidRPr="004C5737" w:rsidRDefault="00853FDE" w:rsidP="00853FDE">
                    <w:pPr>
                      <w:autoSpaceDE w:val="0"/>
                      <w:autoSpaceDN w:val="0"/>
                      <w:adjustRightInd w:val="0"/>
                      <w:rPr>
                        <w:rFonts w:ascii="Arial Narrow" w:hAnsi="Arial Narrow" w:cs="Arial"/>
                        <w:b/>
                        <w:bCs/>
                        <w:color w:val="FFFFFF" w:themeColor="background1"/>
                        <w:sz w:val="34"/>
                        <w:szCs w:val="34"/>
                      </w:rPr>
                    </w:pPr>
                    <w:r w:rsidRPr="004C5737">
                      <w:rPr>
                        <w:rFonts w:ascii="Arial Narrow" w:hAnsi="Arial Narrow" w:cs="Arial"/>
                        <w:b/>
                        <w:bCs/>
                        <w:color w:val="FFFFFF" w:themeColor="background1"/>
                        <w:sz w:val="34"/>
                        <w:szCs w:val="34"/>
                      </w:rPr>
                      <w:t>National</w:t>
                    </w:r>
                  </w:p>
                </w:txbxContent>
              </v:textbox>
              <w10:wrap anchory="page"/>
            </v:shape>
          </w:pict>
        </mc:Fallback>
      </mc:AlternateContent>
    </w:r>
    <w:r w:rsidRPr="00853FDE">
      <w:rPr>
        <w:noProof/>
      </w:rPr>
      <mc:AlternateContent>
        <mc:Choice Requires="wps">
          <w:drawing>
            <wp:anchor distT="0" distB="0" distL="114300" distR="114300" simplePos="0" relativeHeight="251659264" behindDoc="1" locked="0" layoutInCell="1" allowOverlap="1" wp14:anchorId="7BE6CA3B" wp14:editId="7AE03B0B">
              <wp:simplePos x="0" y="0"/>
              <wp:positionH relativeFrom="column">
                <wp:posOffset>-1002665</wp:posOffset>
              </wp:positionH>
              <wp:positionV relativeFrom="page">
                <wp:posOffset>423545</wp:posOffset>
              </wp:positionV>
              <wp:extent cx="8435975" cy="962025"/>
              <wp:effectExtent l="0" t="0" r="0" b="3175"/>
              <wp:wrapNone/>
              <wp:docPr id="4" name="Rectangle 4"/>
              <wp:cNvGraphicFramePr/>
              <a:graphic xmlns:a="http://schemas.openxmlformats.org/drawingml/2006/main">
                <a:graphicData uri="http://schemas.microsoft.com/office/word/2010/wordprocessingShape">
                  <wps:wsp>
                    <wps:cNvSpPr/>
                    <wps:spPr>
                      <a:xfrm>
                        <a:off x="0" y="0"/>
                        <a:ext cx="8435975" cy="962025"/>
                      </a:xfrm>
                      <a:prstGeom prst="rect">
                        <a:avLst/>
                      </a:prstGeom>
                      <a:solidFill>
                        <a:srgbClr val="0125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B8EB" id="Rectangle 4" o:spid="_x0000_s1026" style="position:absolute;margin-left:-78.95pt;margin-top:33.35pt;width:664.2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" fillcolor="#01253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CD0" w14:textId="77777777" w:rsidR="00237F24" w:rsidRDefault="00237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925"/>
    <w:multiLevelType w:val="hybridMultilevel"/>
    <w:tmpl w:val="ACB8C0F4"/>
    <w:lvl w:ilvl="0" w:tplc="6AE2DD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1D61"/>
    <w:multiLevelType w:val="hybridMultilevel"/>
    <w:tmpl w:val="41B2CDA4"/>
    <w:lvl w:ilvl="0" w:tplc="6AE2DD7A">
      <w:start w:val="1"/>
      <w:numFmt w:val="bullet"/>
      <w:lvlText w:val="»"/>
      <w:lvlJc w:val="left"/>
      <w:pPr>
        <w:ind w:left="540" w:hanging="360"/>
      </w:pPr>
      <w:rPr>
        <w:rFonts w:ascii="Arial" w:hAnsi="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44E7F3C"/>
    <w:multiLevelType w:val="hybridMultilevel"/>
    <w:tmpl w:val="9C306CC6"/>
    <w:lvl w:ilvl="0" w:tplc="6AE2DD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226ED"/>
    <w:multiLevelType w:val="hybridMultilevel"/>
    <w:tmpl w:val="F74E0A64"/>
    <w:lvl w:ilvl="0" w:tplc="6AE2DD7A">
      <w:start w:val="1"/>
      <w:numFmt w:val="bullet"/>
      <w:lvlText w:val="»"/>
      <w:lvlJc w:val="left"/>
      <w:pPr>
        <w:ind w:left="990" w:hanging="360"/>
      </w:pPr>
      <w:rPr>
        <w:rFonts w:ascii="Arial"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745304143">
    <w:abstractNumId w:val="0"/>
  </w:num>
  <w:num w:numId="2" w16cid:durableId="1518035678">
    <w:abstractNumId w:val="1"/>
  </w:num>
  <w:num w:numId="3" w16cid:durableId="1883055522">
    <w:abstractNumId w:val="3"/>
  </w:num>
  <w:num w:numId="4" w16cid:durableId="1742216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02"/>
    <w:rsid w:val="00023C27"/>
    <w:rsid w:val="000E29A9"/>
    <w:rsid w:val="00112F69"/>
    <w:rsid w:val="00115706"/>
    <w:rsid w:val="00154A19"/>
    <w:rsid w:val="00185DA9"/>
    <w:rsid w:val="00237F24"/>
    <w:rsid w:val="003206F6"/>
    <w:rsid w:val="0033218E"/>
    <w:rsid w:val="00353B5D"/>
    <w:rsid w:val="00376EEF"/>
    <w:rsid w:val="004C5737"/>
    <w:rsid w:val="005C0747"/>
    <w:rsid w:val="005E7456"/>
    <w:rsid w:val="00677141"/>
    <w:rsid w:val="006A6127"/>
    <w:rsid w:val="006A6AA8"/>
    <w:rsid w:val="0071445D"/>
    <w:rsid w:val="0080699A"/>
    <w:rsid w:val="00853FDE"/>
    <w:rsid w:val="009940CC"/>
    <w:rsid w:val="00A078B4"/>
    <w:rsid w:val="00A13FAE"/>
    <w:rsid w:val="00B35475"/>
    <w:rsid w:val="00B86287"/>
    <w:rsid w:val="00BD69D0"/>
    <w:rsid w:val="00BF351C"/>
    <w:rsid w:val="00C64001"/>
    <w:rsid w:val="00CC6102"/>
    <w:rsid w:val="00DB08D5"/>
    <w:rsid w:val="00DC2475"/>
    <w:rsid w:val="00F05078"/>
    <w:rsid w:val="00F931B4"/>
    <w:rsid w:val="00F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50584"/>
  <w15:chartTrackingRefBased/>
  <w15:docId w15:val="{B1FEC2CC-F10D-264F-8329-DA3A5684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102"/>
    <w:pPr>
      <w:tabs>
        <w:tab w:val="center" w:pos="4680"/>
        <w:tab w:val="right" w:pos="9360"/>
      </w:tabs>
    </w:pPr>
  </w:style>
  <w:style w:type="character" w:customStyle="1" w:styleId="HeaderChar">
    <w:name w:val="Header Char"/>
    <w:basedOn w:val="DefaultParagraphFont"/>
    <w:link w:val="Header"/>
    <w:uiPriority w:val="99"/>
    <w:rsid w:val="00CC6102"/>
  </w:style>
  <w:style w:type="paragraph" w:styleId="Footer">
    <w:name w:val="footer"/>
    <w:basedOn w:val="Normal"/>
    <w:link w:val="FooterChar"/>
    <w:uiPriority w:val="99"/>
    <w:unhideWhenUsed/>
    <w:rsid w:val="00CC6102"/>
    <w:pPr>
      <w:tabs>
        <w:tab w:val="center" w:pos="4680"/>
        <w:tab w:val="right" w:pos="9360"/>
      </w:tabs>
    </w:pPr>
  </w:style>
  <w:style w:type="character" w:customStyle="1" w:styleId="FooterChar">
    <w:name w:val="Footer Char"/>
    <w:basedOn w:val="DefaultParagraphFont"/>
    <w:link w:val="Footer"/>
    <w:uiPriority w:val="99"/>
    <w:rsid w:val="00CC6102"/>
  </w:style>
  <w:style w:type="paragraph" w:styleId="ListParagraph">
    <w:name w:val="List Paragraph"/>
    <w:basedOn w:val="Normal"/>
    <w:uiPriority w:val="34"/>
    <w:qFormat/>
    <w:rsid w:val="00DB08D5"/>
    <w:pPr>
      <w:ind w:left="720"/>
      <w:contextualSpacing/>
    </w:pPr>
  </w:style>
  <w:style w:type="character" w:styleId="FootnoteReference">
    <w:name w:val="footnote reference"/>
    <w:basedOn w:val="DefaultParagraphFont"/>
    <w:uiPriority w:val="99"/>
    <w:semiHidden/>
    <w:unhideWhenUsed/>
    <w:rsid w:val="00C64001"/>
    <w:rPr>
      <w:vertAlign w:val="superscript"/>
    </w:rPr>
  </w:style>
  <w:style w:type="table" w:styleId="TableGrid">
    <w:name w:val="Table Grid"/>
    <w:basedOn w:val="TableNormal"/>
    <w:uiPriority w:val="39"/>
    <w:rsid w:val="00C6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EEF"/>
    <w:rPr>
      <w:color w:val="0563C1" w:themeColor="hyperlink"/>
      <w:u w:val="single"/>
    </w:rPr>
  </w:style>
  <w:style w:type="character" w:styleId="UnresolvedMention">
    <w:name w:val="Unresolved Mention"/>
    <w:basedOn w:val="DefaultParagraphFont"/>
    <w:uiPriority w:val="99"/>
    <w:semiHidden/>
    <w:unhideWhenUsed/>
    <w:rsid w:val="00376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nate.gov/legislation/laws/EXC/296-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A239-AAEF-0040-B90B-4FAB3442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Elliott-Black, Morgan</cp:lastModifiedBy>
  <cp:revision>9</cp:revision>
  <cp:lastPrinted>2021-08-12T21:14:00Z</cp:lastPrinted>
  <dcterms:created xsi:type="dcterms:W3CDTF">2022-08-05T15:56:00Z</dcterms:created>
  <dcterms:modified xsi:type="dcterms:W3CDTF">2023-03-06T17:46:00Z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4e6b59-cf09-4f53-85d7-bf10fd6e1b2e_Enabled">
    <vt:lpwstr>true</vt:lpwstr>
  </property>
  <property fmtid="{D5CDD505-2E9C-101B-9397-08002B2CF9AE}" pid="3" name="MSIP_Label_f54e6b59-cf09-4f53-85d7-bf10fd6e1b2e_SetDate">
    <vt:lpwstr>2022-08-05T15:12:55Z</vt:lpwstr>
  </property>
  <property fmtid="{D5CDD505-2E9C-101B-9397-08002B2CF9AE}" pid="4" name="MSIP_Label_f54e6b59-cf09-4f53-85d7-bf10fd6e1b2e_Method">
    <vt:lpwstr>Privileged</vt:lpwstr>
  </property>
  <property fmtid="{D5CDD505-2E9C-101B-9397-08002B2CF9AE}" pid="5" name="MSIP_Label_f54e6b59-cf09-4f53-85d7-bf10fd6e1b2e_Name">
    <vt:lpwstr>US Public</vt:lpwstr>
  </property>
  <property fmtid="{D5CDD505-2E9C-101B-9397-08002B2CF9AE}" pid="6" name="MSIP_Label_f54e6b59-cf09-4f53-85d7-bf10fd6e1b2e_SiteId">
    <vt:lpwstr>35595a02-4d6d-44ac-99e1-f9ab4cd872db</vt:lpwstr>
  </property>
  <property fmtid="{D5CDD505-2E9C-101B-9397-08002B2CF9AE}" pid="7" name="MSIP_Label_f54e6b59-cf09-4f53-85d7-bf10fd6e1b2e_ActionId">
    <vt:lpwstr>0cb1962d-937f-407f-82aa-13be58f76295</vt:lpwstr>
  </property>
  <property fmtid="{D5CDD505-2E9C-101B-9397-08002B2CF9AE}" pid="8" name="MSIP_Label_f54e6b59-cf09-4f53-85d7-bf10fd6e1b2e_ContentBits">
    <vt:lpwstr>0</vt:lpwstr>
  </property>
</Properties>
</file>